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3F" w:rsidRDefault="007B113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Layout w:type="fixed"/>
        <w:tblLook w:val="0000" w:firstRow="0" w:lastRow="0" w:firstColumn="0" w:lastColumn="0" w:noHBand="0" w:noVBand="0"/>
      </w:tblPr>
      <w:tblGrid>
        <w:gridCol w:w="4786"/>
        <w:gridCol w:w="4502"/>
      </w:tblGrid>
      <w:tr w:rsidR="007B113F">
        <w:trPr>
          <w:trHeight w:val="993"/>
        </w:trPr>
        <w:tc>
          <w:tcPr>
            <w:tcW w:w="4786" w:type="dxa"/>
          </w:tcPr>
          <w:p w:rsidR="007B113F" w:rsidRDefault="004A39A2">
            <w:pPr>
              <w:jc w:val="center"/>
              <w:rPr>
                <w:sz w:val="28"/>
                <w:szCs w:val="28"/>
              </w:rPr>
            </w:pPr>
            <w:r>
              <w:rPr>
                <w:b/>
                <w:sz w:val="28"/>
                <w:szCs w:val="28"/>
              </w:rPr>
              <w:t>BAN CHẤP HÀNH TRUNG ƯƠNG</w:t>
            </w:r>
          </w:p>
          <w:p w:rsidR="007B113F" w:rsidRDefault="004A39A2">
            <w:pPr>
              <w:jc w:val="center"/>
              <w:rPr>
                <w:sz w:val="28"/>
                <w:szCs w:val="28"/>
              </w:rPr>
            </w:pPr>
            <w:r>
              <w:rPr>
                <w:sz w:val="28"/>
                <w:szCs w:val="28"/>
              </w:rPr>
              <w:t>***</w:t>
            </w:r>
          </w:p>
          <w:p w:rsidR="007B113F" w:rsidRDefault="000976BB">
            <w:pPr>
              <w:jc w:val="center"/>
              <w:rPr>
                <w:sz w:val="28"/>
                <w:szCs w:val="28"/>
              </w:rPr>
            </w:pPr>
            <w:r>
              <w:rPr>
                <w:sz w:val="28"/>
                <w:szCs w:val="28"/>
              </w:rPr>
              <w:t xml:space="preserve">Số: </w:t>
            </w:r>
            <w:r w:rsidR="004A39A2">
              <w:rPr>
                <w:sz w:val="28"/>
                <w:szCs w:val="28"/>
              </w:rPr>
              <w:t xml:space="preserve"> </w:t>
            </w:r>
            <w:r w:rsidRPr="000976BB">
              <w:rPr>
                <w:b/>
                <w:sz w:val="28"/>
                <w:szCs w:val="28"/>
              </w:rPr>
              <w:t>40</w:t>
            </w:r>
            <w:r>
              <w:rPr>
                <w:sz w:val="28"/>
                <w:szCs w:val="28"/>
              </w:rPr>
              <w:t xml:space="preserve"> </w:t>
            </w:r>
            <w:r w:rsidR="004A39A2">
              <w:rPr>
                <w:sz w:val="28"/>
                <w:szCs w:val="28"/>
              </w:rPr>
              <w:t xml:space="preserve"> - HD/TWĐTN-BQT</w:t>
            </w:r>
          </w:p>
        </w:tc>
        <w:tc>
          <w:tcPr>
            <w:tcW w:w="4502" w:type="dxa"/>
          </w:tcPr>
          <w:p w:rsidR="007B113F" w:rsidRDefault="004A39A2">
            <w:pPr>
              <w:jc w:val="right"/>
              <w:rPr>
                <w:sz w:val="30"/>
                <w:szCs w:val="30"/>
              </w:rPr>
            </w:pPr>
            <w:r>
              <w:rPr>
                <w:b/>
                <w:sz w:val="30"/>
                <w:szCs w:val="30"/>
              </w:rPr>
              <w:t>ĐOÀN TNCS HỒ CHÍ MINH</w:t>
            </w:r>
          </w:p>
          <w:p w:rsidR="007B113F" w:rsidRDefault="004A39A2">
            <w:pPr>
              <w:jc w:val="right"/>
              <w:rPr>
                <w:sz w:val="30"/>
                <w:szCs w:val="3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274955</wp:posOffset>
                      </wp:positionH>
                      <wp:positionV relativeFrom="paragraph">
                        <wp:posOffset>28575</wp:posOffset>
                      </wp:positionV>
                      <wp:extent cx="244284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2442845" cy="0"/>
                              </a:xfrm>
                              <a:prstGeom prst="straightConnector1">
                                <a:avLst/>
                              </a:prstGeom>
                              <a:solidFill>
                                <a:srgbClr val="FFFFFF"/>
                              </a:solidFill>
                              <a:ln w="9525" cap="flat" cmpd="sng" algn="ctr">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4626A956" id="_x0000_t32" coordsize="21600,21600" o:spt="32" o:oned="t" path="m,l21600,21600e" filled="f">
                      <v:path arrowok="t" fillok="f" o:connecttype="none"/>
                      <o:lock v:ext="edit" shapetype="t"/>
                    </v:shapetype>
                    <v:shape id="Straight Arrow Connector 1" o:spid="_x0000_s1026" type="#_x0000_t32" style="position:absolute;margin-left:21.65pt;margin-top:2.25pt;width:192.3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" filled="t">
                      <v:stroke joinstyle="miter"/>
                    </v:shape>
                  </w:pict>
                </mc:Fallback>
              </mc:AlternateContent>
            </w:r>
          </w:p>
          <w:p w:rsidR="007B113F" w:rsidRDefault="004A39A2">
            <w:pPr>
              <w:jc w:val="right"/>
              <w:rPr>
                <w:sz w:val="26"/>
                <w:szCs w:val="26"/>
              </w:rPr>
            </w:pPr>
            <w:r>
              <w:rPr>
                <w:i/>
                <w:sz w:val="26"/>
                <w:szCs w:val="26"/>
              </w:rPr>
              <w:t xml:space="preserve">   Hà Nội, ngày  </w:t>
            </w:r>
            <w:r w:rsidR="000976BB">
              <w:rPr>
                <w:i/>
                <w:sz w:val="26"/>
                <w:szCs w:val="26"/>
              </w:rPr>
              <w:t xml:space="preserve">03 </w:t>
            </w:r>
            <w:r>
              <w:rPr>
                <w:i/>
                <w:sz w:val="26"/>
                <w:szCs w:val="26"/>
              </w:rPr>
              <w:t xml:space="preserve"> tháng  </w:t>
            </w:r>
            <w:r w:rsidR="000976BB">
              <w:rPr>
                <w:i/>
                <w:sz w:val="26"/>
                <w:szCs w:val="26"/>
              </w:rPr>
              <w:t>02</w:t>
            </w:r>
            <w:r>
              <w:rPr>
                <w:i/>
                <w:sz w:val="26"/>
                <w:szCs w:val="26"/>
              </w:rPr>
              <w:t xml:space="preserve">  năm 2020 </w:t>
            </w:r>
          </w:p>
        </w:tc>
      </w:tr>
    </w:tbl>
    <w:p w:rsidR="007B113F" w:rsidRDefault="007B113F">
      <w:pPr>
        <w:spacing w:line="223" w:lineRule="auto"/>
        <w:jc w:val="center"/>
        <w:rPr>
          <w:sz w:val="28"/>
          <w:szCs w:val="28"/>
        </w:rPr>
      </w:pPr>
    </w:p>
    <w:p w:rsidR="007B113F" w:rsidRDefault="007B113F">
      <w:pPr>
        <w:jc w:val="center"/>
        <w:rPr>
          <w:sz w:val="28"/>
          <w:szCs w:val="28"/>
        </w:rPr>
      </w:pPr>
    </w:p>
    <w:p w:rsidR="007B113F" w:rsidRDefault="004A39A2">
      <w:pPr>
        <w:jc w:val="center"/>
        <w:rPr>
          <w:sz w:val="28"/>
          <w:szCs w:val="28"/>
        </w:rPr>
      </w:pPr>
      <w:r>
        <w:rPr>
          <w:b/>
          <w:sz w:val="28"/>
          <w:szCs w:val="28"/>
        </w:rPr>
        <w:t>HƯỚNG DẪN</w:t>
      </w:r>
    </w:p>
    <w:p w:rsidR="007B113F" w:rsidRDefault="004A39A2">
      <w:pPr>
        <w:jc w:val="center"/>
        <w:rPr>
          <w:sz w:val="28"/>
          <w:szCs w:val="28"/>
        </w:rPr>
      </w:pPr>
      <w:bookmarkStart w:id="0" w:name="_GoBack"/>
      <w:r>
        <w:rPr>
          <w:b/>
          <w:sz w:val="28"/>
          <w:szCs w:val="28"/>
        </w:rPr>
        <w:t>Triển khai công tác quốc tế thanh niên năm 2020</w:t>
      </w:r>
    </w:p>
    <w:bookmarkEnd w:id="0"/>
    <w:p w:rsidR="007B113F" w:rsidRDefault="004A39A2">
      <w:pPr>
        <w:jc w:val="center"/>
        <w:rPr>
          <w:sz w:val="28"/>
          <w:szCs w:val="28"/>
        </w:rPr>
      </w:pPr>
      <w:r>
        <w:rPr>
          <w:b/>
          <w:sz w:val="28"/>
          <w:szCs w:val="28"/>
        </w:rPr>
        <w:t>----------------</w:t>
      </w:r>
    </w:p>
    <w:p w:rsidR="007B113F" w:rsidRDefault="007B113F">
      <w:pPr>
        <w:ind w:firstLine="720"/>
        <w:jc w:val="both"/>
      </w:pPr>
    </w:p>
    <w:p w:rsidR="007B113F" w:rsidRDefault="004A39A2">
      <w:pPr>
        <w:spacing w:before="120" w:after="120"/>
        <w:ind w:firstLine="720"/>
        <w:jc w:val="both"/>
        <w:rPr>
          <w:sz w:val="28"/>
          <w:szCs w:val="28"/>
        </w:rPr>
      </w:pPr>
      <w:r>
        <w:rPr>
          <w:sz w:val="28"/>
          <w:szCs w:val="28"/>
        </w:rPr>
        <w:t>Thực hiện Nghị quyết Đại hội đại biểu toàn quốc Đoàn TNCS Hồ Chí Minh lần thứ XI, nhiệm kỳ 2017 – 2022; căn cứ Chương trình số</w:t>
      </w:r>
      <w:r w:rsidR="007C4013">
        <w:rPr>
          <w:sz w:val="28"/>
          <w:szCs w:val="28"/>
        </w:rPr>
        <w:t xml:space="preserve"> </w:t>
      </w:r>
      <w:r>
        <w:rPr>
          <w:sz w:val="28"/>
          <w:szCs w:val="28"/>
        </w:rPr>
        <w:t xml:space="preserve">16-CTr/TWĐTN-VP ngày 31 tháng 12 năm 2019 của Ban Chấp hành Trung ương Đoàn về công tác đoàn và phong trào thanh thiếu nhi năm 2020, Ban Bí thư Trung ương Đoàn ban hành Hướng dẫn triển khai các hoạt động đối ngoại thanh niên và hội nhập quốc tế trong thanh niên năm 2020, cụ thể như sau: </w:t>
      </w:r>
    </w:p>
    <w:p w:rsidR="007B113F" w:rsidRDefault="004A39A2">
      <w:pPr>
        <w:spacing w:before="120" w:after="120"/>
        <w:ind w:firstLine="720"/>
        <w:jc w:val="both"/>
        <w:rPr>
          <w:sz w:val="28"/>
          <w:szCs w:val="28"/>
        </w:rPr>
      </w:pPr>
      <w:r>
        <w:rPr>
          <w:b/>
          <w:sz w:val="28"/>
          <w:szCs w:val="28"/>
        </w:rPr>
        <w:t>I. MỤC ĐÍCH, YÊU CẦU</w:t>
      </w:r>
    </w:p>
    <w:p w:rsidR="007B113F" w:rsidRDefault="004A39A2">
      <w:pPr>
        <w:spacing w:before="120" w:after="120"/>
        <w:ind w:firstLine="720"/>
        <w:jc w:val="both"/>
        <w:rPr>
          <w:sz w:val="28"/>
          <w:szCs w:val="28"/>
        </w:rPr>
      </w:pPr>
      <w:r>
        <w:rPr>
          <w:sz w:val="28"/>
          <w:szCs w:val="28"/>
        </w:rPr>
        <w:t>1. Nâng cao tính chủ động, khả năng tổ chức thực hiện các hoạt động đối ngoại thanh niên và hội nhập quốc tế trong thanh niên của các cấp bộ Đoàn góp phần đa dạng hóa nội dung, hình thức hợp tác, giao lưu hữu nghị giữa thanh niên Việt Nam, Đoàn TNCS Hồ Chí Minh với thanh niên, các tổ chức thanh niên trên thế giới.</w:t>
      </w:r>
    </w:p>
    <w:p w:rsidR="007B113F" w:rsidRDefault="004A39A2">
      <w:pPr>
        <w:spacing w:before="120" w:after="120"/>
        <w:ind w:firstLine="720"/>
        <w:jc w:val="both"/>
        <w:rPr>
          <w:sz w:val="28"/>
          <w:szCs w:val="28"/>
        </w:rPr>
      </w:pPr>
      <w:r>
        <w:rPr>
          <w:sz w:val="28"/>
          <w:szCs w:val="28"/>
        </w:rPr>
        <w:t>2. Nâng cao nhận thức, kiến thức, rèn luyện kỹ năng và phát huy vai trò xung kích của tuổi trẻ trong hội nhập quốc tế; triển khai các hoạt động quốc tế thanh niên nhân các sự kiện quan trọng của đất nước và kỷ niệm năm chẵn Việt Nam thiết lập quan hệ ngoại giao với các nước.</w:t>
      </w:r>
    </w:p>
    <w:p w:rsidR="007B113F" w:rsidRDefault="004A39A2">
      <w:pPr>
        <w:spacing w:before="120" w:after="120"/>
        <w:ind w:firstLine="720"/>
        <w:jc w:val="both"/>
        <w:rPr>
          <w:sz w:val="28"/>
          <w:szCs w:val="28"/>
        </w:rPr>
      </w:pPr>
      <w:r>
        <w:rPr>
          <w:sz w:val="28"/>
          <w:szCs w:val="28"/>
        </w:rPr>
        <w:t>3. Hoạt động đối ngoại thanh niên và hội nhập quốc tế trong thanh niên cần được triển khai theo phương châm “chủ động, linh hoạt, sáng tạo, tiết kiệm và hiệu quả”, phù hợp với điều kiện, tình hình của của mỗi địa phương, đơn vị, gắn với nhiệm vụ phát triển kinh tế - xã hội, đảm bảo an ninh quốc phòng mà các cấp ủy, chính quyền đề ra.</w:t>
      </w:r>
    </w:p>
    <w:p w:rsidR="007B113F" w:rsidRDefault="004A39A2">
      <w:pPr>
        <w:spacing w:before="120" w:after="120"/>
        <w:ind w:firstLine="720"/>
        <w:jc w:val="both"/>
        <w:rPr>
          <w:sz w:val="28"/>
          <w:szCs w:val="28"/>
        </w:rPr>
      </w:pPr>
      <w:r>
        <w:rPr>
          <w:b/>
          <w:sz w:val="28"/>
          <w:szCs w:val="28"/>
        </w:rPr>
        <w:t>II. NỘI DUNG HOẠT ĐỘNG</w:t>
      </w:r>
    </w:p>
    <w:p w:rsidR="007B113F" w:rsidRDefault="004A39A2">
      <w:pPr>
        <w:spacing w:before="120" w:after="120"/>
        <w:ind w:firstLine="700"/>
        <w:jc w:val="both"/>
        <w:rPr>
          <w:sz w:val="28"/>
          <w:szCs w:val="28"/>
        </w:rPr>
      </w:pPr>
      <w:r>
        <w:rPr>
          <w:b/>
          <w:sz w:val="28"/>
          <w:szCs w:val="28"/>
        </w:rPr>
        <w:t>1. Tăng cường công tác truyền thông, nâng cao nhận thức của cán bộ, đoàn viên, thanh niên về đối ngoại, tình hình thế giới, các vấn đề toàn cầu</w:t>
      </w:r>
    </w:p>
    <w:p w:rsidR="007B113F" w:rsidRDefault="004A39A2">
      <w:pPr>
        <w:spacing w:before="120" w:after="120"/>
        <w:ind w:firstLine="700"/>
        <w:jc w:val="both"/>
        <w:rPr>
          <w:sz w:val="28"/>
          <w:szCs w:val="28"/>
        </w:rPr>
      </w:pPr>
      <w:r>
        <w:rPr>
          <w:color w:val="000000"/>
          <w:sz w:val="28"/>
          <w:szCs w:val="28"/>
        </w:rPr>
        <w:t xml:space="preserve"> - Tổ chức góp ý dự thảo các văn kiện Đại hội Đảng toàn quốc lần thứ XIII về các nội dung liên quan đến đường lối đối ngoại của Đảng trong </w:t>
      </w:r>
      <w:r>
        <w:rPr>
          <w:sz w:val="28"/>
          <w:szCs w:val="28"/>
        </w:rPr>
        <w:t xml:space="preserve">cán bộ đoàn chủ chốt các cấp. </w:t>
      </w:r>
    </w:p>
    <w:p w:rsidR="007B113F" w:rsidRDefault="004A39A2">
      <w:pPr>
        <w:spacing w:before="120" w:after="120"/>
        <w:ind w:firstLine="697"/>
        <w:jc w:val="both"/>
        <w:rPr>
          <w:sz w:val="28"/>
          <w:szCs w:val="28"/>
        </w:rPr>
      </w:pPr>
      <w:r>
        <w:rPr>
          <w:sz w:val="28"/>
          <w:szCs w:val="28"/>
        </w:rPr>
        <w:t xml:space="preserve">- Tổ chức các hoạt động sinh hoạt, thông tin chuyên đề về các hoạt động đối ngoại của Đảng, Nhà nước; thông tin về ASEAN, các nước láng giềng, các nước có kỉ niệm các năm chẵn thiết lập quan hệ ngoại giao với Việt Nam (Trung Quốc, Cuba, Triều Tiên ...), về tình hình khu vực, thế giới và các thông tin đối ngoại khác cho cán bộ Đoàn. </w:t>
      </w:r>
    </w:p>
    <w:p w:rsidR="007B113F" w:rsidRDefault="004A39A2">
      <w:pPr>
        <w:spacing w:before="120" w:after="120"/>
        <w:ind w:firstLine="697"/>
        <w:jc w:val="both"/>
        <w:rPr>
          <w:sz w:val="28"/>
          <w:szCs w:val="28"/>
        </w:rPr>
      </w:pPr>
      <w:r>
        <w:rPr>
          <w:sz w:val="28"/>
          <w:szCs w:val="28"/>
        </w:rPr>
        <w:lastRenderedPageBreak/>
        <w:t xml:space="preserve">- Phối hợp với các cơ quan liên quan xây dựng các ấn phẩm quảng bá văn hóa, lịch sử của địa phương, đơn vị phục vụ cho các hoạt động quốc tế thanh niên diễn ra trên địa bàn hoặc cung cấp cho đại biểu thanh niên sử dụng khi tham gia các hoạt động tại nước ngoài. </w:t>
      </w:r>
    </w:p>
    <w:p w:rsidR="007B113F" w:rsidRDefault="004A39A2">
      <w:pPr>
        <w:spacing w:before="120" w:after="120"/>
        <w:ind w:firstLine="567"/>
        <w:jc w:val="both"/>
        <w:rPr>
          <w:sz w:val="28"/>
          <w:szCs w:val="28"/>
        </w:rPr>
      </w:pPr>
      <w:r>
        <w:rPr>
          <w:sz w:val="28"/>
          <w:szCs w:val="28"/>
        </w:rPr>
        <w:tab/>
        <w:t>- Căn cứ vào điều kiện của địa phương, đơn vị, xây dựng phiên bản tiếng Anh cho trang web chính thức của tổ chức Đoàn địa phương, đơn vị mình nhằm tuyên truyền, thông tin cho bạn bè quốc tế về công tác Đoàn và phong trào thanh thiếu nhi của địa phương, đơn vị.</w:t>
      </w:r>
    </w:p>
    <w:p w:rsidR="007B113F" w:rsidRDefault="004A39A2">
      <w:pPr>
        <w:spacing w:before="120" w:after="120"/>
        <w:ind w:firstLine="567"/>
        <w:jc w:val="both"/>
        <w:rPr>
          <w:sz w:val="28"/>
          <w:szCs w:val="28"/>
        </w:rPr>
      </w:pPr>
      <w:r>
        <w:rPr>
          <w:sz w:val="28"/>
          <w:szCs w:val="28"/>
        </w:rPr>
        <w:t>- Chủ động, đẩy mạnh tuyên truyền về các hoạt động quốc tế thanh niên đặc biệt là các hoạt động lớn của thanh niên trong năm Việt Nam đảm nhận cương vị chủ tịch ASEAN.</w:t>
      </w:r>
    </w:p>
    <w:p w:rsidR="007B113F" w:rsidRDefault="004A39A2">
      <w:pPr>
        <w:spacing w:before="120" w:after="120"/>
        <w:ind w:firstLine="700"/>
        <w:jc w:val="both"/>
        <w:rPr>
          <w:sz w:val="28"/>
          <w:szCs w:val="28"/>
        </w:rPr>
      </w:pPr>
      <w:r>
        <w:rPr>
          <w:b/>
          <w:sz w:val="28"/>
          <w:szCs w:val="28"/>
        </w:rPr>
        <w:t>2. Tích cực, chủ động tổ chức và tham gia có hiệu quả các hoạt động chính trị đối ngoại và giao lưu hữu nghị thanh niên</w:t>
      </w:r>
      <w:r>
        <w:rPr>
          <w:sz w:val="28"/>
          <w:szCs w:val="28"/>
        </w:rPr>
        <w:t xml:space="preserve"> </w:t>
      </w:r>
    </w:p>
    <w:p w:rsidR="007B113F" w:rsidRDefault="004A39A2">
      <w:pPr>
        <w:spacing w:before="120" w:after="120"/>
        <w:ind w:firstLine="700"/>
        <w:jc w:val="both"/>
        <w:rPr>
          <w:sz w:val="28"/>
          <w:szCs w:val="28"/>
        </w:rPr>
      </w:pPr>
      <w:r>
        <w:rPr>
          <w:sz w:val="28"/>
          <w:szCs w:val="28"/>
        </w:rPr>
        <w:t>- Các tỉnh, thành đoàn, đoàn trực thuộc chủ động xây dựng kế hoạch hoạt động đối ngoại thanh niên của địa phương, đơn vị, báo cáo Ban Bí thư Trung ương Đoàn và cấp có thẩm quyền phê duyệt để triển khai thực hiện.</w:t>
      </w:r>
    </w:p>
    <w:p w:rsidR="007B113F" w:rsidRDefault="004A39A2">
      <w:pPr>
        <w:spacing w:before="120" w:after="120"/>
        <w:ind w:firstLine="567"/>
        <w:jc w:val="both"/>
        <w:rPr>
          <w:sz w:val="28"/>
          <w:szCs w:val="28"/>
        </w:rPr>
      </w:pPr>
      <w:r>
        <w:rPr>
          <w:sz w:val="28"/>
          <w:szCs w:val="28"/>
        </w:rPr>
        <w:t xml:space="preserve">- Tổ chức tốt các hoạt động chính trị đối ngoại và giao lưu thanh niên, đặc biệt là các hoạt động lớn, có ý nghĩa quan trọng trong năm: các hoạt động thanh niên trong năm Việt Nam đảm nhận cương vị chủ tịch ASEAN, kỉ niệm các năm chẵn Việt Nam thiết lập quan hệ ngoại giao với một số nước như Trung Quốc, Triều Tiên, Cuba. </w:t>
      </w:r>
    </w:p>
    <w:p w:rsidR="007B113F" w:rsidRDefault="004A39A2">
      <w:pPr>
        <w:spacing w:before="120" w:after="120"/>
        <w:ind w:firstLine="700"/>
        <w:jc w:val="both"/>
        <w:rPr>
          <w:sz w:val="28"/>
          <w:szCs w:val="28"/>
        </w:rPr>
      </w:pPr>
      <w:r>
        <w:rPr>
          <w:sz w:val="28"/>
          <w:szCs w:val="28"/>
        </w:rPr>
        <w:t>- Các tỉnh, thành đoàn giáp biên, kết nghĩa với các địa phương của                       Trung Quốc, Lào, Campuchia triển khai các hoạt động giao lưu văn hóa, văn nghệ, thể thao, trao đổi kinh nghiệm công tác Đoàn, phong trào thanh thiếu nhi với các đơn vị của Bạn; đẩy mạnh giao lưu trực tiếp giữa thanh niên các lĩnh vực, ngành nghề, giao lưu ở cấp huyện, cấp xã; tổ chức các đội hình tình nguyện, các đoàn bác sỹ trẻ khám bệnh, cấp phát thuốc miễn phí cho nhân dân khu vực biên giới</w:t>
      </w:r>
      <w:r>
        <w:rPr>
          <w:sz w:val="28"/>
          <w:szCs w:val="28"/>
          <w:vertAlign w:val="superscript"/>
        </w:rPr>
        <w:footnoteReference w:id="1"/>
      </w:r>
      <w:r>
        <w:rPr>
          <w:sz w:val="28"/>
          <w:szCs w:val="28"/>
        </w:rPr>
        <w:t xml:space="preserve">. </w:t>
      </w:r>
    </w:p>
    <w:p w:rsidR="007B113F" w:rsidRDefault="004A39A2">
      <w:pPr>
        <w:spacing w:before="120" w:after="120"/>
        <w:ind w:firstLine="700"/>
        <w:jc w:val="both"/>
        <w:rPr>
          <w:sz w:val="28"/>
          <w:szCs w:val="28"/>
        </w:rPr>
      </w:pPr>
      <w:r>
        <w:rPr>
          <w:sz w:val="28"/>
          <w:szCs w:val="28"/>
        </w:rPr>
        <w:t>- Các tỉnh, thành đoàn, đoàn trực thuộc chưa có quan hệ hợp tác với các tổ chức thanh niên quốc tế căn cứ điều kiện của địa phương, đơn vị mình chủ động tìm kiếm, mở rộng quan hệ hợp tác, giao lưu hữu nghị, kết nghĩa với tổ chức thanh niên một số địa phương, đơn vị của các nước.</w:t>
      </w:r>
    </w:p>
    <w:p w:rsidR="007B113F" w:rsidRDefault="004A39A2">
      <w:pPr>
        <w:spacing w:before="120" w:after="120"/>
        <w:ind w:firstLine="700"/>
        <w:jc w:val="both"/>
        <w:rPr>
          <w:sz w:val="28"/>
          <w:szCs w:val="28"/>
        </w:rPr>
      </w:pPr>
      <w:r>
        <w:rPr>
          <w:sz w:val="28"/>
          <w:szCs w:val="28"/>
        </w:rPr>
        <w:t xml:space="preserve">- Đối với các hoạt động giao lưu thanh niên quốc tế được Trung ương Đoàn phân bổ chỉ tiêu đại biểu tham gia, làm tốt công tác giới thiệu, tuyển chọn đại biểu phù hợp, có hình thức tập huấn cho đại biểu trước khi tham gia hoạt động.  </w:t>
      </w:r>
    </w:p>
    <w:p w:rsidR="007B113F" w:rsidRDefault="004A39A2">
      <w:pPr>
        <w:spacing w:before="120" w:after="120"/>
        <w:ind w:firstLine="700"/>
        <w:jc w:val="both"/>
        <w:rPr>
          <w:sz w:val="28"/>
          <w:szCs w:val="28"/>
        </w:rPr>
      </w:pPr>
      <w:r>
        <w:rPr>
          <w:sz w:val="28"/>
          <w:szCs w:val="28"/>
        </w:rPr>
        <w:t xml:space="preserve">- Chú trọng nâng cao năng lực, nghiệp vụ của bộ phận tham mưu các hoạt động quốc tế thanh niên tại mỗi địa phương, đơn vị. </w:t>
      </w:r>
    </w:p>
    <w:p w:rsidR="007B113F" w:rsidRDefault="004A39A2">
      <w:pPr>
        <w:spacing w:before="120" w:after="120"/>
        <w:ind w:firstLine="697"/>
        <w:jc w:val="both"/>
        <w:rPr>
          <w:rFonts w:ascii="Times" w:eastAsia="Times" w:hAnsi="Times" w:cs="Times"/>
          <w:b/>
          <w:sz w:val="28"/>
          <w:szCs w:val="28"/>
        </w:rPr>
      </w:pPr>
      <w:r>
        <w:rPr>
          <w:rFonts w:ascii="Times" w:eastAsia="Times" w:hAnsi="Times" w:cs="Times"/>
          <w:b/>
          <w:sz w:val="28"/>
          <w:szCs w:val="28"/>
        </w:rPr>
        <w:t>3. Triển khai các hoạt động nâng cao năng lực hội nhập quốc tế cho thanh thiếu niên; vận động, khai thác các nguồn lực quốc tế phục vụ công tác thanh thiếu nhi</w:t>
      </w:r>
    </w:p>
    <w:p w:rsidR="007B113F" w:rsidRPr="00507A20" w:rsidRDefault="004A39A2">
      <w:pPr>
        <w:spacing w:before="120" w:after="120"/>
        <w:jc w:val="both"/>
        <w:rPr>
          <w:spacing w:val="-4"/>
          <w:sz w:val="28"/>
          <w:szCs w:val="28"/>
        </w:rPr>
      </w:pPr>
      <w:r>
        <w:tab/>
      </w:r>
      <w:r>
        <w:rPr>
          <w:sz w:val="28"/>
          <w:szCs w:val="28"/>
        </w:rPr>
        <w:t xml:space="preserve">- Tiếp tục đẩy mạnh triển khai các nội dung trong Đề án nâng cao năng lực sử dụng tiếng Anh trong thanh thiếu niên Việt Nam giai đoạn 2018 – 2022. Trong đó, tập trung một số hoạt động quan trọng như: tuyên truyền, nâng cao nhận thức của thanh thiếu niên về sự cần thiết của tiếng Anh, chủ động học tập, rèn luyện, nâng cao khả năng sử dụng tiếng Anh; tổ chức các hoạt động tạo môi trường để thanh thiếu niên học tập, thực hành nâng cao năng lực sử dụng tiếng Anh: thành lập các câu lạc bộ tiếng Anh, liên hoan các câu lạc bộ tiếng Anh, cuộc thi Olympic tiếng Anh, Trại hè tiếng Anh, cuộc thi hùng biện tiếng Anh, cuộc thi giọng hát hay tiếng Anh, tổ chức các đội hình tình nguyện chuyên dạy </w:t>
      </w:r>
      <w:r w:rsidRPr="00507A20">
        <w:rPr>
          <w:spacing w:val="-4"/>
          <w:sz w:val="28"/>
          <w:szCs w:val="28"/>
        </w:rPr>
        <w:t>tiếng Anh cho thanh thiếu nhi, đội hình thanh niên tình nguyện hướng dẫn du lịch.</w:t>
      </w:r>
    </w:p>
    <w:p w:rsidR="007B113F" w:rsidRDefault="004A39A2">
      <w:pPr>
        <w:spacing w:before="120" w:after="120"/>
        <w:jc w:val="both"/>
        <w:rPr>
          <w:sz w:val="28"/>
          <w:szCs w:val="28"/>
        </w:rPr>
      </w:pPr>
      <w:r>
        <w:rPr>
          <w:sz w:val="28"/>
          <w:szCs w:val="28"/>
        </w:rPr>
        <w:tab/>
        <w:t xml:space="preserve">- Phối hợp với các cơ quan liên quan khai thác các chương trình, dự án quốc tế nhằm thu hút nguồn lực thực hiện các chương trình phát triển thanh thiếu nhi, các hoạt động an sinh, cộng đồng tại địa phương, đơn vị. </w:t>
      </w:r>
    </w:p>
    <w:p w:rsidR="007B113F" w:rsidRDefault="004A39A2">
      <w:pPr>
        <w:spacing w:before="120" w:after="120"/>
        <w:ind w:firstLine="697"/>
        <w:jc w:val="both"/>
        <w:rPr>
          <w:sz w:val="28"/>
          <w:szCs w:val="28"/>
        </w:rPr>
      </w:pPr>
      <w:r>
        <w:rPr>
          <w:b/>
          <w:sz w:val="28"/>
          <w:szCs w:val="28"/>
        </w:rPr>
        <w:t>4. Công tác thanh niên ngoài nước và thanh niên nước ngoài học tập, sinh sống tại địa phương</w:t>
      </w:r>
    </w:p>
    <w:p w:rsidR="007B113F" w:rsidRDefault="004A39A2">
      <w:pPr>
        <w:spacing w:before="120" w:after="120"/>
        <w:ind w:firstLine="697"/>
        <w:jc w:val="both"/>
        <w:rPr>
          <w:sz w:val="28"/>
          <w:szCs w:val="28"/>
        </w:rPr>
      </w:pPr>
      <w:r>
        <w:rPr>
          <w:sz w:val="28"/>
          <w:szCs w:val="28"/>
        </w:rPr>
        <w:t xml:space="preserve">- Kết nối với các tổ chức thanh niên Việt Nam ở ngoài nước để tổ chức các hoạt động tình nguyện, hoạt động an sinh, cộng đồng tại địa phương, đơn vị.  </w:t>
      </w:r>
    </w:p>
    <w:p w:rsidR="007B113F" w:rsidRDefault="004A39A2">
      <w:pPr>
        <w:spacing w:before="120" w:after="120"/>
        <w:ind w:firstLine="697"/>
        <w:jc w:val="both"/>
        <w:rPr>
          <w:sz w:val="28"/>
          <w:szCs w:val="28"/>
        </w:rPr>
      </w:pPr>
      <w:r>
        <w:rPr>
          <w:sz w:val="28"/>
          <w:szCs w:val="28"/>
        </w:rPr>
        <w:t xml:space="preserve">- Tổ chức các hoạt động giao lưu với thanh niên nước ngoài đang học tập, sinh sống tại địa phương. </w:t>
      </w:r>
    </w:p>
    <w:p w:rsidR="007B113F" w:rsidRDefault="004A39A2">
      <w:pPr>
        <w:spacing w:before="120" w:after="120"/>
        <w:ind w:firstLine="700"/>
        <w:jc w:val="both"/>
        <w:rPr>
          <w:sz w:val="28"/>
          <w:szCs w:val="28"/>
        </w:rPr>
      </w:pPr>
      <w:r>
        <w:rPr>
          <w:sz w:val="28"/>
          <w:szCs w:val="28"/>
        </w:rPr>
        <w:t xml:space="preserve">- Tổ chức các hoạt động hỗ trợ lưu học sinh Lào, Campuchia đang học tập tại địa phương, đơn vị, đặc biệt trong dịp Tết cổ truyền Bunpimay của Lào </w:t>
      </w:r>
      <w:r>
        <w:rPr>
          <w:i/>
          <w:sz w:val="28"/>
          <w:szCs w:val="28"/>
        </w:rPr>
        <w:t>(</w:t>
      </w:r>
      <w:r>
        <w:rPr>
          <w:i/>
          <w:sz w:val="28"/>
          <w:szCs w:val="28"/>
          <w:highlight w:val="white"/>
        </w:rPr>
        <w:t>ngày 13/4 đến 15/4 dương lịch)</w:t>
      </w:r>
      <w:r>
        <w:rPr>
          <w:sz w:val="28"/>
          <w:szCs w:val="28"/>
          <w:highlight w:val="white"/>
        </w:rPr>
        <w:t xml:space="preserve"> và Tết cổ truyền </w:t>
      </w:r>
      <w:r>
        <w:rPr>
          <w:sz w:val="28"/>
          <w:szCs w:val="28"/>
        </w:rPr>
        <w:t xml:space="preserve">Chol Chnam Thmay của Campuchia </w:t>
      </w:r>
      <w:r>
        <w:rPr>
          <w:i/>
          <w:sz w:val="28"/>
          <w:szCs w:val="28"/>
        </w:rPr>
        <w:t xml:space="preserve">(ngày </w:t>
      </w:r>
      <w:r>
        <w:rPr>
          <w:i/>
          <w:color w:val="231F20"/>
          <w:sz w:val="28"/>
          <w:szCs w:val="28"/>
          <w:highlight w:val="white"/>
        </w:rPr>
        <w:t>14/4 đến 16/4 dương lịch)</w:t>
      </w:r>
      <w:r>
        <w:rPr>
          <w:i/>
          <w:sz w:val="28"/>
          <w:szCs w:val="28"/>
        </w:rPr>
        <w:t>.</w:t>
      </w:r>
    </w:p>
    <w:p w:rsidR="007B113F" w:rsidRDefault="004A39A2">
      <w:pPr>
        <w:spacing w:before="120" w:after="120"/>
        <w:ind w:firstLine="720"/>
        <w:jc w:val="both"/>
        <w:rPr>
          <w:color w:val="000000"/>
          <w:sz w:val="28"/>
          <w:szCs w:val="28"/>
        </w:rPr>
      </w:pPr>
      <w:r>
        <w:rPr>
          <w:b/>
          <w:color w:val="000000"/>
          <w:sz w:val="28"/>
          <w:szCs w:val="28"/>
        </w:rPr>
        <w:t>III. TỔ CHỨC THỰC HIỆN</w:t>
      </w:r>
    </w:p>
    <w:p w:rsidR="007B113F" w:rsidRDefault="004A39A2">
      <w:pPr>
        <w:spacing w:before="120" w:after="120"/>
        <w:ind w:firstLine="720"/>
        <w:jc w:val="both"/>
        <w:rPr>
          <w:color w:val="000000"/>
          <w:sz w:val="28"/>
          <w:szCs w:val="28"/>
        </w:rPr>
      </w:pPr>
      <w:r>
        <w:rPr>
          <w:b/>
          <w:color w:val="000000"/>
          <w:sz w:val="28"/>
          <w:szCs w:val="28"/>
        </w:rPr>
        <w:t>1. Trung ương Đoàn TNCS Hồ Chí Minh</w:t>
      </w:r>
    </w:p>
    <w:p w:rsidR="007B113F" w:rsidRDefault="004A39A2">
      <w:pPr>
        <w:spacing w:before="120" w:after="120"/>
        <w:ind w:firstLine="700"/>
        <w:jc w:val="both"/>
        <w:rPr>
          <w:sz w:val="28"/>
          <w:szCs w:val="28"/>
        </w:rPr>
      </w:pPr>
      <w:r>
        <w:rPr>
          <w:sz w:val="28"/>
          <w:szCs w:val="28"/>
        </w:rPr>
        <w:t>- Tổ chức thực hiện các hoạt động đối ngoại thanh niên theo Kế hoạch đối ngoại năm 2020 được Ban Bí thư Trung ương Đảng, Ban Đối ngoại Trung ương phê duyệt.</w:t>
      </w:r>
    </w:p>
    <w:p w:rsidR="007B113F" w:rsidRDefault="004A39A2">
      <w:pPr>
        <w:spacing w:before="120" w:after="120"/>
        <w:ind w:firstLine="700"/>
        <w:jc w:val="both"/>
        <w:rPr>
          <w:sz w:val="28"/>
          <w:szCs w:val="28"/>
        </w:rPr>
      </w:pPr>
      <w:r>
        <w:rPr>
          <w:sz w:val="28"/>
          <w:szCs w:val="28"/>
        </w:rPr>
        <w:t xml:space="preserve">- Triển khai các nội dung cấp Trung ương thực hiện Đề án nâng cao năng lực sử dụng tiếng Anh trong thanh thiếu niên Việt Nam giai đoạn 2018 – 2022. </w:t>
      </w:r>
    </w:p>
    <w:p w:rsidR="007B113F" w:rsidRDefault="004A39A2">
      <w:pPr>
        <w:spacing w:before="120" w:after="120"/>
        <w:ind w:firstLine="700"/>
        <w:jc w:val="both"/>
        <w:rPr>
          <w:sz w:val="28"/>
          <w:szCs w:val="28"/>
        </w:rPr>
      </w:pPr>
      <w:r>
        <w:rPr>
          <w:sz w:val="28"/>
          <w:szCs w:val="28"/>
        </w:rPr>
        <w:t xml:space="preserve">- Hướng dẫn các tỉnh, thành đoàn, đoàn trực thuộc về nghiệp vụ đối ngoại, định hướng về nội dung và một số vấn đề cần lưu ý trong quá trình triển khai các hoạt động đối ngoại thanh niên. </w:t>
      </w:r>
    </w:p>
    <w:p w:rsidR="007B113F" w:rsidRDefault="004A39A2">
      <w:pPr>
        <w:spacing w:before="120" w:after="120"/>
        <w:ind w:firstLine="700"/>
        <w:jc w:val="both"/>
        <w:rPr>
          <w:sz w:val="28"/>
          <w:szCs w:val="28"/>
        </w:rPr>
      </w:pPr>
      <w:r>
        <w:rPr>
          <w:sz w:val="28"/>
          <w:szCs w:val="28"/>
        </w:rPr>
        <w:t xml:space="preserve">- Theo dõi, kiểm tra, đôn đốc, đánh giá công tác quốc tế thanh niên năm 2020 của các tỉnh, thành đoàn, đoàn trực thuộc.  </w:t>
      </w:r>
    </w:p>
    <w:p w:rsidR="007B113F" w:rsidRDefault="004A39A2">
      <w:pPr>
        <w:spacing w:before="120" w:after="120"/>
        <w:ind w:firstLine="720"/>
        <w:jc w:val="both"/>
        <w:rPr>
          <w:color w:val="000000"/>
          <w:sz w:val="28"/>
          <w:szCs w:val="28"/>
        </w:rPr>
      </w:pPr>
      <w:r>
        <w:rPr>
          <w:b/>
          <w:color w:val="000000"/>
          <w:sz w:val="28"/>
          <w:szCs w:val="28"/>
        </w:rPr>
        <w:t xml:space="preserve">2. Các </w:t>
      </w:r>
      <w:r>
        <w:rPr>
          <w:b/>
          <w:sz w:val="28"/>
          <w:szCs w:val="28"/>
        </w:rPr>
        <w:t>tỉnh, thành đoàn, đoàn trực thuộc</w:t>
      </w:r>
    </w:p>
    <w:p w:rsidR="007B113F" w:rsidRDefault="004A39A2">
      <w:pPr>
        <w:spacing w:before="120" w:after="120"/>
        <w:ind w:firstLine="720"/>
        <w:jc w:val="both"/>
        <w:rPr>
          <w:color w:val="000000"/>
          <w:sz w:val="28"/>
          <w:szCs w:val="28"/>
        </w:rPr>
      </w:pPr>
      <w:r>
        <w:rPr>
          <w:color w:val="000000"/>
          <w:sz w:val="28"/>
          <w:szCs w:val="28"/>
        </w:rPr>
        <w:t>- Căn cứ hướng dẫn của Trung ương Đoàn, xây dựng kế hoạch hoạt động đối ngoại năm 2020 của địa phương, đơn vị.</w:t>
      </w:r>
    </w:p>
    <w:p w:rsidR="007B113F" w:rsidRDefault="004A39A2">
      <w:pPr>
        <w:spacing w:before="120" w:after="120"/>
        <w:ind w:firstLine="720"/>
        <w:jc w:val="both"/>
        <w:rPr>
          <w:color w:val="000000"/>
          <w:sz w:val="28"/>
          <w:szCs w:val="28"/>
        </w:rPr>
      </w:pPr>
      <w:r>
        <w:rPr>
          <w:color w:val="000000"/>
          <w:sz w:val="28"/>
          <w:szCs w:val="28"/>
        </w:rPr>
        <w:t>- Chủ động tham mưu cấp ủy, chính quyền địa phương; phối hợp với các ngành chức năng của địa phương thực hiện tốt các nội dung của Hướng dẫn này.</w:t>
      </w:r>
    </w:p>
    <w:p w:rsidR="007B113F" w:rsidRDefault="004A39A2">
      <w:pPr>
        <w:spacing w:before="120" w:after="120"/>
        <w:ind w:firstLine="720"/>
        <w:jc w:val="both"/>
        <w:rPr>
          <w:color w:val="000000"/>
          <w:sz w:val="28"/>
          <w:szCs w:val="28"/>
        </w:rPr>
      </w:pPr>
      <w:r>
        <w:rPr>
          <w:color w:val="000000"/>
          <w:sz w:val="28"/>
          <w:szCs w:val="28"/>
        </w:rPr>
        <w:t>- Phối hợp với Ban Quốc tế Trung ương Đoàn đăng cai tổ chức tốt các hoạt động đối ngoại thanh niên cấp trung ương tổ chức tại địa phương, đơn vị.</w:t>
      </w:r>
    </w:p>
    <w:p w:rsidR="007B113F" w:rsidRDefault="007B113F">
      <w:pPr>
        <w:spacing w:before="120" w:after="120"/>
        <w:ind w:firstLine="720"/>
        <w:jc w:val="both"/>
        <w:rPr>
          <w:color w:val="000000"/>
          <w:sz w:val="28"/>
          <w:szCs w:val="28"/>
        </w:rPr>
      </w:pPr>
    </w:p>
    <w:tbl>
      <w:tblPr>
        <w:tblStyle w:val="a0"/>
        <w:tblW w:w="9606" w:type="dxa"/>
        <w:tblLayout w:type="fixed"/>
        <w:tblLook w:val="0000" w:firstRow="0" w:lastRow="0" w:firstColumn="0" w:lastColumn="0" w:noHBand="0" w:noVBand="0"/>
      </w:tblPr>
      <w:tblGrid>
        <w:gridCol w:w="4219"/>
        <w:gridCol w:w="5387"/>
      </w:tblGrid>
      <w:tr w:rsidR="007B113F" w:rsidTr="00A87047">
        <w:tc>
          <w:tcPr>
            <w:tcW w:w="4219" w:type="dxa"/>
          </w:tcPr>
          <w:p w:rsidR="007B113F" w:rsidRDefault="007B113F">
            <w:pPr>
              <w:rPr>
                <w:color w:val="000000"/>
                <w:sz w:val="22"/>
                <w:szCs w:val="22"/>
              </w:rPr>
            </w:pPr>
          </w:p>
          <w:p w:rsidR="007B113F" w:rsidRDefault="004A39A2">
            <w:pPr>
              <w:rPr>
                <w:color w:val="000000"/>
                <w:sz w:val="26"/>
                <w:szCs w:val="26"/>
              </w:rPr>
            </w:pPr>
            <w:r>
              <w:rPr>
                <w:b/>
                <w:color w:val="000000"/>
                <w:sz w:val="26"/>
                <w:szCs w:val="26"/>
              </w:rPr>
              <w:t>Nơi nhận:</w:t>
            </w:r>
          </w:p>
          <w:p w:rsidR="007B113F" w:rsidRDefault="00507A20">
            <w:pPr>
              <w:rPr>
                <w:color w:val="000000"/>
                <w:sz w:val="22"/>
                <w:szCs w:val="22"/>
              </w:rPr>
            </w:pPr>
            <w:r>
              <w:rPr>
                <w:color w:val="000000"/>
                <w:sz w:val="22"/>
                <w:szCs w:val="22"/>
              </w:rPr>
              <w:t>- Ban Đối ngoại TW, Ban Tuyên giáo TW,</w:t>
            </w:r>
            <w:r w:rsidR="004A39A2">
              <w:rPr>
                <w:color w:val="000000"/>
                <w:sz w:val="22"/>
                <w:szCs w:val="22"/>
              </w:rPr>
              <w:t xml:space="preserve"> </w:t>
            </w:r>
          </w:p>
          <w:p w:rsidR="007B113F" w:rsidRDefault="004A39A2">
            <w:pPr>
              <w:rPr>
                <w:color w:val="000000"/>
                <w:sz w:val="22"/>
                <w:szCs w:val="22"/>
              </w:rPr>
            </w:pPr>
            <w:r>
              <w:rPr>
                <w:color w:val="000000"/>
                <w:sz w:val="22"/>
                <w:szCs w:val="22"/>
              </w:rPr>
              <w:t xml:space="preserve">  Ban Dân vận TW (để báo cáo);</w:t>
            </w:r>
          </w:p>
          <w:p w:rsidR="007B113F" w:rsidRDefault="004A39A2">
            <w:pPr>
              <w:rPr>
                <w:color w:val="000000"/>
                <w:sz w:val="22"/>
                <w:szCs w:val="22"/>
              </w:rPr>
            </w:pPr>
            <w:r>
              <w:rPr>
                <w:color w:val="000000"/>
                <w:sz w:val="22"/>
                <w:szCs w:val="22"/>
              </w:rPr>
              <w:t>- Bộ Ngoại giao;</w:t>
            </w:r>
          </w:p>
          <w:p w:rsidR="007B113F" w:rsidRDefault="004A39A2">
            <w:pPr>
              <w:rPr>
                <w:color w:val="000000"/>
                <w:sz w:val="22"/>
                <w:szCs w:val="22"/>
              </w:rPr>
            </w:pPr>
            <w:r>
              <w:rPr>
                <w:color w:val="000000"/>
                <w:sz w:val="22"/>
                <w:szCs w:val="22"/>
              </w:rPr>
              <w:t>- Ban Bí thư TW Đoàn;</w:t>
            </w:r>
          </w:p>
          <w:p w:rsidR="007B113F" w:rsidRDefault="004A39A2">
            <w:pPr>
              <w:rPr>
                <w:color w:val="000000"/>
                <w:sz w:val="22"/>
                <w:szCs w:val="22"/>
              </w:rPr>
            </w:pPr>
            <w:r>
              <w:rPr>
                <w:color w:val="000000"/>
                <w:sz w:val="22"/>
                <w:szCs w:val="22"/>
              </w:rPr>
              <w:t>- TW Hội LHTN VN, TW Hội SVVN;</w:t>
            </w:r>
          </w:p>
          <w:p w:rsidR="007B113F" w:rsidRDefault="004A39A2">
            <w:pPr>
              <w:rPr>
                <w:color w:val="000000"/>
                <w:sz w:val="22"/>
                <w:szCs w:val="22"/>
              </w:rPr>
            </w:pPr>
            <w:r>
              <w:rPr>
                <w:color w:val="000000"/>
                <w:sz w:val="22"/>
                <w:szCs w:val="22"/>
              </w:rPr>
              <w:t>- Các ban, đơn vị TW Đoàn;</w:t>
            </w:r>
          </w:p>
          <w:p w:rsidR="007B113F" w:rsidRDefault="004A39A2">
            <w:pPr>
              <w:rPr>
                <w:color w:val="000000"/>
                <w:sz w:val="22"/>
                <w:szCs w:val="22"/>
              </w:rPr>
            </w:pPr>
            <w:r>
              <w:rPr>
                <w:color w:val="000000"/>
                <w:sz w:val="22"/>
                <w:szCs w:val="22"/>
              </w:rPr>
              <w:t>- Các tỉnh, thành đoàn, đoàn trực thuộc;</w:t>
            </w:r>
          </w:p>
          <w:p w:rsidR="007B113F" w:rsidRDefault="004A39A2">
            <w:pPr>
              <w:rPr>
                <w:color w:val="000000"/>
                <w:sz w:val="22"/>
                <w:szCs w:val="22"/>
              </w:rPr>
            </w:pPr>
            <w:r>
              <w:rPr>
                <w:color w:val="000000"/>
                <w:sz w:val="22"/>
                <w:szCs w:val="22"/>
              </w:rPr>
              <w:t>- Lưu BQT, VP.</w:t>
            </w:r>
          </w:p>
        </w:tc>
        <w:tc>
          <w:tcPr>
            <w:tcW w:w="5387" w:type="dxa"/>
          </w:tcPr>
          <w:p w:rsidR="007B113F" w:rsidRDefault="00A87047">
            <w:pPr>
              <w:jc w:val="center"/>
              <w:rPr>
                <w:rFonts w:ascii="Times" w:eastAsia="Times" w:hAnsi="Times" w:cs="Times"/>
                <w:b/>
                <w:color w:val="000000"/>
                <w:sz w:val="28"/>
                <w:szCs w:val="28"/>
              </w:rPr>
            </w:pPr>
            <w:r>
              <w:rPr>
                <w:rFonts w:ascii="Times" w:eastAsia="Times" w:hAnsi="Times" w:cs="Times"/>
                <w:b/>
                <w:color w:val="000000"/>
                <w:sz w:val="28"/>
                <w:szCs w:val="28"/>
              </w:rPr>
              <w:t xml:space="preserve">TL. BAN BÍ THƯ TRUNG ƯƠNG </w:t>
            </w:r>
            <w:r w:rsidR="004A39A2">
              <w:rPr>
                <w:rFonts w:ascii="Times" w:eastAsia="Times" w:hAnsi="Times" w:cs="Times"/>
                <w:b/>
                <w:color w:val="000000"/>
                <w:sz w:val="28"/>
                <w:szCs w:val="28"/>
              </w:rPr>
              <w:t>ĐOÀN</w:t>
            </w:r>
          </w:p>
          <w:p w:rsidR="007B113F" w:rsidRDefault="004A39A2">
            <w:pPr>
              <w:jc w:val="center"/>
              <w:rPr>
                <w:color w:val="000000"/>
                <w:sz w:val="28"/>
                <w:szCs w:val="28"/>
              </w:rPr>
            </w:pPr>
            <w:r>
              <w:rPr>
                <w:color w:val="000000"/>
                <w:sz w:val="28"/>
                <w:szCs w:val="28"/>
              </w:rPr>
              <w:t>CHÁNH VĂN PHÒNG</w:t>
            </w:r>
          </w:p>
          <w:p w:rsidR="007B113F" w:rsidRDefault="007B113F">
            <w:pPr>
              <w:jc w:val="center"/>
              <w:rPr>
                <w:color w:val="000000"/>
                <w:sz w:val="28"/>
                <w:szCs w:val="28"/>
              </w:rPr>
            </w:pPr>
          </w:p>
          <w:p w:rsidR="007B113F" w:rsidRDefault="007B113F">
            <w:pPr>
              <w:jc w:val="center"/>
              <w:rPr>
                <w:color w:val="000000"/>
                <w:sz w:val="28"/>
                <w:szCs w:val="28"/>
              </w:rPr>
            </w:pPr>
          </w:p>
          <w:p w:rsidR="007B113F" w:rsidRPr="000976BB" w:rsidRDefault="000976BB">
            <w:pPr>
              <w:jc w:val="center"/>
              <w:rPr>
                <w:i/>
                <w:color w:val="000000"/>
                <w:sz w:val="28"/>
                <w:szCs w:val="28"/>
              </w:rPr>
            </w:pPr>
            <w:r>
              <w:rPr>
                <w:color w:val="000000"/>
                <w:sz w:val="28"/>
                <w:szCs w:val="28"/>
              </w:rPr>
              <w:t>(</w:t>
            </w:r>
            <w:r w:rsidRPr="000976BB">
              <w:rPr>
                <w:i/>
                <w:color w:val="000000"/>
                <w:sz w:val="28"/>
                <w:szCs w:val="28"/>
              </w:rPr>
              <w:t>Đã ký)</w:t>
            </w:r>
          </w:p>
          <w:p w:rsidR="007B113F" w:rsidRDefault="007B113F">
            <w:pPr>
              <w:jc w:val="center"/>
              <w:rPr>
                <w:color w:val="000000"/>
                <w:sz w:val="28"/>
                <w:szCs w:val="28"/>
              </w:rPr>
            </w:pPr>
          </w:p>
          <w:p w:rsidR="007B113F" w:rsidRDefault="007B113F">
            <w:pPr>
              <w:jc w:val="center"/>
              <w:rPr>
                <w:color w:val="000000"/>
                <w:sz w:val="28"/>
                <w:szCs w:val="28"/>
              </w:rPr>
            </w:pPr>
          </w:p>
          <w:p w:rsidR="007B113F" w:rsidRDefault="004A39A2">
            <w:pPr>
              <w:jc w:val="center"/>
              <w:rPr>
                <w:color w:val="000000"/>
                <w:sz w:val="28"/>
                <w:szCs w:val="28"/>
              </w:rPr>
            </w:pPr>
            <w:r>
              <w:rPr>
                <w:b/>
                <w:color w:val="000000"/>
                <w:sz w:val="28"/>
                <w:szCs w:val="28"/>
              </w:rPr>
              <w:t>Nguyễn Bình Minh</w:t>
            </w:r>
          </w:p>
        </w:tc>
      </w:tr>
    </w:tbl>
    <w:p w:rsidR="007B113F" w:rsidRDefault="007B113F">
      <w:pPr>
        <w:spacing w:before="80" w:after="80" w:line="264" w:lineRule="auto"/>
        <w:ind w:firstLine="720"/>
        <w:jc w:val="both"/>
        <w:rPr>
          <w:color w:val="000000"/>
          <w:sz w:val="28"/>
          <w:szCs w:val="28"/>
        </w:rPr>
      </w:pPr>
    </w:p>
    <w:p w:rsidR="007B113F" w:rsidRDefault="007B113F">
      <w:pPr>
        <w:spacing w:line="223" w:lineRule="auto"/>
        <w:ind w:firstLine="720"/>
        <w:jc w:val="both"/>
        <w:rPr>
          <w:color w:val="FF0000"/>
          <w:sz w:val="28"/>
          <w:szCs w:val="28"/>
        </w:rPr>
      </w:pPr>
    </w:p>
    <w:sectPr w:rsidR="007B113F" w:rsidSect="00A87047">
      <w:headerReference w:type="default" r:id="rId7"/>
      <w:footerReference w:type="even" r:id="rId8"/>
      <w:footerReference w:type="default" r:id="rId9"/>
      <w:pgSz w:w="11907" w:h="1683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95" w:rsidRDefault="00CD2895">
      <w:r>
        <w:separator/>
      </w:r>
    </w:p>
  </w:endnote>
  <w:endnote w:type="continuationSeparator" w:id="0">
    <w:p w:rsidR="00CD2895" w:rsidRDefault="00CD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3F" w:rsidRDefault="004A39A2">
    <w:pPr>
      <w:pBdr>
        <w:top w:val="nil"/>
        <w:left w:val="nil"/>
        <w:bottom w:val="nil"/>
        <w:right w:val="nil"/>
        <w:between w:val="nil"/>
      </w:pBdr>
      <w:tabs>
        <w:tab w:val="center" w:pos="4320"/>
        <w:tab w:val="right" w:pos="8640"/>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rsidR="007B113F" w:rsidRDefault="007B113F">
    <w:pPr>
      <w:pBdr>
        <w:top w:val="nil"/>
        <w:left w:val="nil"/>
        <w:bottom w:val="nil"/>
        <w:right w:val="nil"/>
        <w:between w:val="nil"/>
      </w:pBdr>
      <w:tabs>
        <w:tab w:val="center" w:pos="4320"/>
        <w:tab w:val="right" w:pos="8640"/>
      </w:tabs>
      <w:ind w:right="360"/>
      <w:rPr>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3F" w:rsidRDefault="007B113F">
    <w:pPr>
      <w:pBdr>
        <w:top w:val="nil"/>
        <w:left w:val="nil"/>
        <w:bottom w:val="nil"/>
        <w:right w:val="nil"/>
        <w:between w:val="nil"/>
      </w:pBdr>
      <w:tabs>
        <w:tab w:val="center" w:pos="4320"/>
        <w:tab w:val="right" w:pos="8640"/>
      </w:tabs>
      <w:jc w:val="center"/>
      <w:rPr>
        <w:color w:val="000000"/>
        <w:sz w:val="26"/>
        <w:szCs w:val="26"/>
      </w:rPr>
    </w:pPr>
  </w:p>
  <w:p w:rsidR="007B113F" w:rsidRDefault="007B113F">
    <w:pPr>
      <w:pBdr>
        <w:top w:val="nil"/>
        <w:left w:val="nil"/>
        <w:bottom w:val="nil"/>
        <w:right w:val="nil"/>
        <w:between w:val="nil"/>
      </w:pBdr>
      <w:tabs>
        <w:tab w:val="center" w:pos="4320"/>
        <w:tab w:val="right" w:pos="8640"/>
      </w:tabs>
      <w:ind w:right="360"/>
      <w:rPr>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95" w:rsidRDefault="00CD2895">
      <w:r>
        <w:separator/>
      </w:r>
    </w:p>
  </w:footnote>
  <w:footnote w:type="continuationSeparator" w:id="0">
    <w:p w:rsidR="00CD2895" w:rsidRDefault="00CD2895">
      <w:r>
        <w:continuationSeparator/>
      </w:r>
    </w:p>
  </w:footnote>
  <w:footnote w:id="1">
    <w:p w:rsidR="007B113F" w:rsidRDefault="004A39A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Lưu ý chỉ tiến hành các hoạt động giao lưu thanh niên biên giới sau khi có thông báo chính thức của Bộ Y tế về việc dịch bệnh viêm đường hô hấp cấp do chủng mới của virus Corona gây ra đã được khống chế hoàn toàn tại tất cả các nước láng giềng.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3F" w:rsidRDefault="004A39A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219B9">
      <w:rPr>
        <w:noProof/>
        <w:color w:val="000000"/>
      </w:rPr>
      <w:t>4</w:t>
    </w:r>
    <w:r>
      <w:rPr>
        <w:color w:val="000000"/>
      </w:rPr>
      <w:fldChar w:fldCharType="end"/>
    </w:r>
  </w:p>
  <w:p w:rsidR="007B113F" w:rsidRDefault="007B113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B113F"/>
    <w:rsid w:val="000219B9"/>
    <w:rsid w:val="000976BB"/>
    <w:rsid w:val="001F3D4C"/>
    <w:rsid w:val="004A39A2"/>
    <w:rsid w:val="00507A20"/>
    <w:rsid w:val="007B113F"/>
    <w:rsid w:val="007C4013"/>
    <w:rsid w:val="00A87047"/>
    <w:rsid w:val="00CD2895"/>
    <w:rsid w:val="00E5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b/>
      <w:sz w:val="28"/>
      <w:szCs w:val="28"/>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jc w:val="both"/>
      <w:outlineLvl w:val="2"/>
    </w:pPr>
    <w:rPr>
      <w:i/>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013"/>
    <w:rPr>
      <w:rFonts w:ascii="Tahoma" w:hAnsi="Tahoma" w:cs="Tahoma"/>
      <w:sz w:val="16"/>
      <w:szCs w:val="16"/>
    </w:rPr>
  </w:style>
  <w:style w:type="character" w:customStyle="1" w:styleId="BalloonTextChar">
    <w:name w:val="Balloon Text Char"/>
    <w:basedOn w:val="DefaultParagraphFont"/>
    <w:link w:val="BalloonText"/>
    <w:uiPriority w:val="99"/>
    <w:semiHidden/>
    <w:rsid w:val="007C4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b/>
      <w:sz w:val="28"/>
      <w:szCs w:val="28"/>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jc w:val="both"/>
      <w:outlineLvl w:val="2"/>
    </w:pPr>
    <w:rPr>
      <w:i/>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013"/>
    <w:rPr>
      <w:rFonts w:ascii="Tahoma" w:hAnsi="Tahoma" w:cs="Tahoma"/>
      <w:sz w:val="16"/>
      <w:szCs w:val="16"/>
    </w:rPr>
  </w:style>
  <w:style w:type="character" w:customStyle="1" w:styleId="BalloonTextChar">
    <w:name w:val="Balloon Text Char"/>
    <w:basedOn w:val="DefaultParagraphFont"/>
    <w:link w:val="BalloonText"/>
    <w:uiPriority w:val="99"/>
    <w:semiHidden/>
    <w:rsid w:val="007C4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baoanh</dc:creator>
  <cp:lastModifiedBy>baoanh</cp:lastModifiedBy>
  <cp:revision>2</cp:revision>
  <cp:lastPrinted>2020-01-31T09:34:00Z</cp:lastPrinted>
  <dcterms:created xsi:type="dcterms:W3CDTF">2020-03-12T00:58:00Z</dcterms:created>
  <dcterms:modified xsi:type="dcterms:W3CDTF">2020-03-12T00:58:00Z</dcterms:modified>
</cp:coreProperties>
</file>